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6" w:rsidRDefault="003C4D76" w:rsidP="003C4D76">
      <w:pPr>
        <w:pStyle w:val="1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704850" cy="704850"/>
            <wp:effectExtent l="0" t="0" r="0" b="0"/>
            <wp:docPr id="1" name="Εικόνα 1" descr="http://www.teipat.gr/plirofories/doc/allusers/teiwest_logos/TEIWEST_LOGO-COLOR-RASTER%5b80x8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teipat.gr/plirofories/doc/allusers/teiwest_logos/TEIWEST_LOGO-COLOR-RASTER%5b80x80%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76" w:rsidRDefault="003C4D76" w:rsidP="003C4D76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3C4D76" w:rsidRDefault="003C4D76" w:rsidP="003C4D76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(Τ.Ε.Ι.) ΔΥΤΙΚΗΣ ΕΛΛΑΔΑΣ</w:t>
      </w:r>
    </w:p>
    <w:p w:rsidR="003C4D76" w:rsidRDefault="003C4D76" w:rsidP="003C4D76">
      <w:pPr>
        <w:rPr>
          <w:rFonts w:ascii="Book Antiqua" w:hAnsi="Book Antiqua"/>
          <w:b/>
          <w:i/>
          <w:sz w:val="28"/>
          <w:szCs w:val="28"/>
        </w:rPr>
      </w:pPr>
    </w:p>
    <w:p w:rsidR="003C4D76" w:rsidRDefault="003C4D76" w:rsidP="003C4D76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ΤΜΗΜΑ ΠΕΡΙΘΑΛΨΗΣ &amp;ΚΟΙΝΩΝΙΚΗΣ ΜΕΡΙΜΝΑΣ</w:t>
      </w:r>
    </w:p>
    <w:p w:rsidR="003C4D76" w:rsidRDefault="003C4D76" w:rsidP="003C4D76">
      <w:pPr>
        <w:jc w:val="center"/>
        <w:rPr>
          <w:b/>
          <w:sz w:val="32"/>
          <w:szCs w:val="32"/>
          <w:u w:val="single"/>
        </w:rPr>
      </w:pPr>
    </w:p>
    <w:p w:rsidR="003C4D76" w:rsidRDefault="003C4D76" w:rsidP="003C4D76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Α Ν Α Κ Ο Ι Ν Ω Σ Η</w:t>
      </w:r>
    </w:p>
    <w:p w:rsidR="003C4D76" w:rsidRDefault="003C4D76" w:rsidP="003C4D76">
      <w:pPr>
        <w:rPr>
          <w:rFonts w:ascii="Calibri" w:hAnsi="Calibri"/>
          <w:b/>
          <w:color w:val="C00000"/>
          <w:sz w:val="36"/>
          <w:szCs w:val="36"/>
        </w:rPr>
      </w:pPr>
    </w:p>
    <w:p w:rsidR="003C4D76" w:rsidRDefault="003C4D76" w:rsidP="003C4D76">
      <w:pPr>
        <w:jc w:val="center"/>
        <w:rPr>
          <w:rFonts w:ascii="Calibri" w:hAnsi="Calibri"/>
          <w:b/>
          <w:color w:val="C00000"/>
          <w:sz w:val="36"/>
          <w:szCs w:val="36"/>
        </w:rPr>
      </w:pPr>
      <w:r>
        <w:rPr>
          <w:rFonts w:ascii="Calibri" w:hAnsi="Calibri"/>
          <w:b/>
          <w:color w:val="C00000"/>
          <w:sz w:val="36"/>
          <w:szCs w:val="36"/>
        </w:rPr>
        <w:t xml:space="preserve">Δράση: </w:t>
      </w:r>
      <w:r>
        <w:rPr>
          <w:rFonts w:ascii="Calibri" w:hAnsi="Calibri"/>
          <w:b/>
          <w:color w:val="C00000"/>
          <w:sz w:val="36"/>
          <w:szCs w:val="36"/>
          <w:lang w:val="en-US"/>
        </w:rPr>
        <w:t>E</w:t>
      </w:r>
      <w:proofErr w:type="spellStart"/>
      <w:r>
        <w:rPr>
          <w:rFonts w:ascii="Calibri" w:hAnsi="Calibri"/>
          <w:b/>
          <w:color w:val="C00000"/>
          <w:sz w:val="36"/>
          <w:szCs w:val="36"/>
        </w:rPr>
        <w:t>νημέρωση</w:t>
      </w:r>
      <w:proofErr w:type="spellEnd"/>
      <w:r>
        <w:rPr>
          <w:rFonts w:ascii="Calibri" w:hAnsi="Calibri"/>
          <w:b/>
          <w:color w:val="C00000"/>
          <w:sz w:val="36"/>
          <w:szCs w:val="36"/>
        </w:rPr>
        <w:t xml:space="preserve">  για τα σεξουαλικώς μεταδιδόμενα νοσήματα  στο Τ.Ε.Ι  Δυτικής  Ελλάδας στην Αμαλιάδα</w:t>
      </w:r>
    </w:p>
    <w:p w:rsidR="003C4D76" w:rsidRDefault="003C4D76" w:rsidP="003C4D76">
      <w:pPr>
        <w:spacing w:before="120" w:after="120"/>
        <w:jc w:val="both"/>
        <w:rPr>
          <w:rFonts w:ascii="Calibri" w:hAnsi="Calibri"/>
          <w:sz w:val="32"/>
          <w:szCs w:val="32"/>
        </w:rPr>
      </w:pPr>
    </w:p>
    <w:p w:rsidR="003C4D76" w:rsidRDefault="003C4D76" w:rsidP="003C4D76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Το Τμήμα Περίθαλψης &amp; Κοινωνικής Μέριμνας και η Περιφέρεια Δυτικής Ελλάδας, στα πλαίσια της Κοινωνικής Πολιτικής που εφαρμόζει και εν όψει της Παγκόσμιας Ημέρας κατά του Α</w:t>
      </w:r>
      <w:r>
        <w:rPr>
          <w:rFonts w:ascii="Calibri" w:hAnsi="Calibri"/>
          <w:sz w:val="32"/>
          <w:szCs w:val="32"/>
          <w:lang w:val="en-US"/>
        </w:rPr>
        <w:t>ids</w:t>
      </w:r>
      <w:r>
        <w:rPr>
          <w:rFonts w:ascii="Calibri" w:hAnsi="Calibri"/>
          <w:sz w:val="32"/>
          <w:szCs w:val="32"/>
        </w:rPr>
        <w:t xml:space="preserve"> προχώρησε στη συνεργασία με αρμόδιους φορείς για δράσεις ενημέρωσης και ευαισθητοποίησης των φοιτητών του Τ.Ε.Ι Δυτικής Ελλάδας.</w:t>
      </w:r>
    </w:p>
    <w:p w:rsidR="003C4D76" w:rsidRDefault="003C4D76" w:rsidP="003C4D76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Θα πραγματοποιήσει δράσεις σε όλο το ΤΕΙ </w:t>
      </w:r>
      <w:proofErr w:type="spellStart"/>
      <w:r>
        <w:rPr>
          <w:rFonts w:ascii="Calibri" w:hAnsi="Calibri"/>
          <w:sz w:val="32"/>
          <w:szCs w:val="32"/>
        </w:rPr>
        <w:t>Δυτ</w:t>
      </w:r>
      <w:proofErr w:type="spellEnd"/>
      <w:r>
        <w:rPr>
          <w:rFonts w:ascii="Calibri" w:hAnsi="Calibri"/>
          <w:sz w:val="32"/>
          <w:szCs w:val="32"/>
        </w:rPr>
        <w:t>. Ελλάδας.</w:t>
      </w:r>
    </w:p>
    <w:p w:rsidR="003C4D76" w:rsidRDefault="003C4D76" w:rsidP="003C4D76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Στον Πύργο η δράση θα περιλαμβάνει συμπλήρωση ερωτηματολογίων, διανομή έντυπου υλικού και ενημέρωση από έγκριτους επιστήμονες για το θέμα.</w:t>
      </w:r>
    </w:p>
    <w:p w:rsidR="003C4D76" w:rsidRDefault="003C4D76" w:rsidP="003C4D76">
      <w:pPr>
        <w:spacing w:before="120" w:after="120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Η δράση θα πραγματοποιηθεί </w:t>
      </w:r>
      <w:r>
        <w:rPr>
          <w:rFonts w:ascii="Calibri" w:hAnsi="Calibri"/>
          <w:b/>
          <w:sz w:val="32"/>
          <w:szCs w:val="32"/>
          <w:u w:val="single"/>
        </w:rPr>
        <w:t xml:space="preserve">την Τρίτη 12 Δεκεμβρίου 2017 και ώρα 12.30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π.μ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>, στο Αμφιθέατρο.</w:t>
      </w:r>
    </w:p>
    <w:p w:rsidR="003C4D76" w:rsidRDefault="003C4D76" w:rsidP="003C4D76">
      <w:pPr>
        <w:spacing w:before="120" w:after="12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Για  περισσότερες  πληροφορίες  οι ενδιαφερόμενοι να απευθύνονται  στο Τμήμα Περίθαλψης και Κοινωνικής  Μέριμνας  του Τ.Ε.Ι  Δυτικής  Ελλάδας  στην  Πάτρα  </w:t>
      </w:r>
    </w:p>
    <w:p w:rsidR="003C4D76" w:rsidRDefault="003C4D76" w:rsidP="003C4D76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(2610 369129 κ. Αναστασοπούλου Ιωάννα).</w:t>
      </w:r>
    </w:p>
    <w:p w:rsidR="003C4D76" w:rsidRDefault="003C4D76" w:rsidP="003C4D76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</w:p>
    <w:p w:rsidR="003C4D76" w:rsidRDefault="003C4D76" w:rsidP="003C4D76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</w:p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4D76"/>
    <w:rsid w:val="00265494"/>
    <w:rsid w:val="003C4D76"/>
    <w:rsid w:val="009B7AA5"/>
    <w:rsid w:val="00FB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6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C4D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4D76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C4D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4D7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1</cp:revision>
  <dcterms:created xsi:type="dcterms:W3CDTF">2017-11-22T12:30:00Z</dcterms:created>
  <dcterms:modified xsi:type="dcterms:W3CDTF">2017-11-22T12:32:00Z</dcterms:modified>
</cp:coreProperties>
</file>